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40"/>
        </w:rPr>
        <w:t>PT SPARTAN ANEKA TELEMATIKA</w:t>
      </w:r>
    </w:p>
    <w:p>
      <w:pPr>
        <w:spacing w:after="280"/>
      </w:pPr>
      <w:r>
        <w:rPr>
          <w:i/>
          <w:sz w:val="22"/>
        </w:rPr>
        <w:t>Profil perusahaan dan layanan — dokumen ringkas untuk calon klien dan bagian pengadaan</w:t>
      </w:r>
    </w:p>
    <w:p>
      <w:pPr>
        <w:pStyle w:val="Heading1"/>
      </w:pPr>
      <w:r>
        <w:t>1. Ringkasan perusahaan</w:t>
      </w:r>
    </w:p>
    <w:p>
      <w:r>
        <w:t>PT Spartan Aneka Telematika adalah perusahaan teknologi informasi berbadan hukum di Kabupaten Bandung, Jawa Barat, yang berfokus pada kecerdasan buatan. Kami membantu organisasi merancang, membangun, dan merawat perangkat lunak serta alur kerja berbasis AI — mulai dari otomasi tugas berulang hingga asisten AI internal. Kami melayani klien di Indonesia maupun luar negeri, secara daring maupun di lokasi klien, dengan komunikasi dalam bahasa Indonesia dan Inggris.</w:t>
      </w:r>
    </w:p>
    <w:p>
      <w:pPr>
        <w:pStyle w:val="Heading1"/>
      </w:pPr>
      <w:r>
        <w:t>2. Identitas legal</w:t>
      </w:r>
    </w:p>
    <w:tbl>
      <w:tblPr>
        <w:tblStyle w:val="LightGrid-Accent1"/>
        <w:tblW w:type="auto" w:w="0"/>
        <w:jc w:val="left"/>
        <w:tblLook w:firstColumn="1" w:firstRow="1" w:lastColumn="0" w:lastRow="0" w:noHBand="0" w:noVBand="1" w:val="04A0"/>
      </w:tblPr>
      <w:tblGrid>
        <w:gridCol w:w="4320"/>
        <w:gridCol w:w="4320"/>
      </w:tblGrid>
      <w:tr>
        <w:tc>
          <w:tcPr>
            <w:tcW w:type="dxa" w:w="3402"/>
          </w:tcPr>
          <w:p>
            <w:pPr>
              <w:spacing w:after="40"/>
            </w:pPr>
            <w:r>
              <w:rPr>
                <w:b/>
                <w:sz w:val="19"/>
              </w:rPr>
              <w:t>Nama badan hukum</w:t>
            </w:r>
          </w:p>
        </w:tc>
        <w:tc>
          <w:tcPr>
            <w:tcW w:type="dxa" w:w="5669"/>
          </w:tcPr>
          <w:p>
            <w:pPr>
              <w:spacing w:after="40"/>
            </w:pPr>
            <w:r>
              <w:rPr>
                <w:sz w:val="19"/>
              </w:rPr>
              <w:t>PT SPARTAN ANEKA TELEMATIKA</w:t>
            </w:r>
          </w:p>
        </w:tc>
      </w:tr>
      <w:tr>
        <w:tc>
          <w:tcPr>
            <w:tcW w:type="dxa" w:w="3402"/>
          </w:tcPr>
          <w:p>
            <w:pPr>
              <w:spacing w:after="40"/>
            </w:pPr>
            <w:r>
              <w:rPr>
                <w:b/>
                <w:sz w:val="19"/>
              </w:rPr>
              <w:t>Bentuk badan hukum</w:t>
            </w:r>
          </w:p>
        </w:tc>
        <w:tc>
          <w:tcPr>
            <w:tcW w:type="dxa" w:w="5669"/>
          </w:tcPr>
          <w:p>
            <w:pPr>
              <w:spacing w:after="40"/>
            </w:pPr>
            <w:r>
              <w:rPr>
                <w:sz w:val="19"/>
              </w:rPr>
              <w:t>Perseroan Perorangan (badan hukum)</w:t>
            </w:r>
          </w:p>
        </w:tc>
      </w:tr>
      <w:tr>
        <w:tc>
          <w:tcPr>
            <w:tcW w:type="dxa" w:w="3402"/>
          </w:tcPr>
          <w:p>
            <w:pPr>
              <w:spacing w:after="40"/>
            </w:pPr>
            <w:r>
              <w:rPr>
                <w:b/>
                <w:sz w:val="19"/>
              </w:rPr>
              <w:t>Tanggal pendirian</w:t>
            </w:r>
          </w:p>
        </w:tc>
        <w:tc>
          <w:tcPr>
            <w:tcW w:type="dxa" w:w="5669"/>
          </w:tcPr>
          <w:p>
            <w:pPr>
              <w:spacing w:after="40"/>
            </w:pPr>
            <w:r>
              <w:rPr>
                <w:sz w:val="19"/>
              </w:rPr>
              <w:t>21 Februari 2023</w:t>
            </w:r>
          </w:p>
        </w:tc>
      </w:tr>
      <w:tr>
        <w:tc>
          <w:tcPr>
            <w:tcW w:type="dxa" w:w="3402"/>
          </w:tcPr>
          <w:p>
            <w:pPr>
              <w:spacing w:after="40"/>
            </w:pPr>
            <w:r>
              <w:rPr>
                <w:b/>
                <w:sz w:val="19"/>
              </w:rPr>
              <w:t>Nomor Induk Berusaha (NIB)</w:t>
            </w:r>
          </w:p>
        </w:tc>
        <w:tc>
          <w:tcPr>
            <w:tcW w:type="dxa" w:w="5669"/>
          </w:tcPr>
          <w:p>
            <w:pPr>
              <w:spacing w:after="40"/>
            </w:pPr>
            <w:r>
              <w:rPr>
                <w:sz w:val="19"/>
              </w:rPr>
              <w:t>2102230105729</w:t>
            </w:r>
          </w:p>
        </w:tc>
      </w:tr>
      <w:tr>
        <w:tc>
          <w:tcPr>
            <w:tcW w:type="dxa" w:w="3402"/>
          </w:tcPr>
          <w:p>
            <w:pPr>
              <w:spacing w:after="40"/>
            </w:pPr>
            <w:r>
              <w:rPr>
                <w:b/>
                <w:sz w:val="19"/>
              </w:rPr>
              <w:t>Sertifikat pendaftaran pendirian</w:t>
            </w:r>
          </w:p>
        </w:tc>
        <w:tc>
          <w:tcPr>
            <w:tcW w:type="dxa" w:w="5669"/>
          </w:tcPr>
          <w:p>
            <w:pPr>
              <w:spacing w:after="40"/>
            </w:pPr>
            <w:r>
              <w:rPr>
                <w:sz w:val="19"/>
              </w:rPr>
              <w:t>AHU-014540.AH.01.30.Tahun 2023</w:t>
            </w:r>
          </w:p>
        </w:tc>
      </w:tr>
      <w:tr>
        <w:tc>
          <w:tcPr>
            <w:tcW w:type="dxa" w:w="3402"/>
          </w:tcPr>
          <w:p>
            <w:pPr>
              <w:spacing w:after="40"/>
            </w:pPr>
            <w:r>
              <w:rPr>
                <w:b/>
                <w:sz w:val="19"/>
              </w:rPr>
              <w:t>NPWP</w:t>
            </w:r>
          </w:p>
        </w:tc>
        <w:tc>
          <w:tcPr>
            <w:tcW w:type="dxa" w:w="5669"/>
          </w:tcPr>
          <w:p>
            <w:pPr>
              <w:spacing w:after="40"/>
            </w:pPr>
            <w:r>
              <w:rPr>
                <w:sz w:val="19"/>
              </w:rPr>
              <w:t>0629202151445000</w:t>
            </w:r>
          </w:p>
        </w:tc>
      </w:tr>
      <w:tr>
        <w:tc>
          <w:tcPr>
            <w:tcW w:type="dxa" w:w="3402"/>
          </w:tcPr>
          <w:p>
            <w:pPr>
              <w:spacing w:after="40"/>
            </w:pPr>
            <w:r>
              <w:rPr>
                <w:b/>
                <w:sz w:val="19"/>
              </w:rPr>
              <w:t>NITKU</w:t>
            </w:r>
          </w:p>
        </w:tc>
        <w:tc>
          <w:tcPr>
            <w:tcW w:type="dxa" w:w="5669"/>
          </w:tcPr>
          <w:p>
            <w:pPr>
              <w:spacing w:after="40"/>
            </w:pPr>
            <w:r>
              <w:rPr>
                <w:sz w:val="19"/>
              </w:rPr>
              <w:t>0629202151445000000000</w:t>
            </w:r>
          </w:p>
        </w:tc>
      </w:tr>
      <w:tr>
        <w:tc>
          <w:tcPr>
            <w:tcW w:type="dxa" w:w="3402"/>
          </w:tcPr>
          <w:p>
            <w:pPr>
              <w:spacing w:after="40"/>
            </w:pPr>
            <w:r>
              <w:rPr>
                <w:b/>
                <w:sz w:val="19"/>
              </w:rPr>
              <w:t>Kantor Pelayanan Pajak</w:t>
            </w:r>
          </w:p>
        </w:tc>
        <w:tc>
          <w:tcPr>
            <w:tcW w:type="dxa" w:w="5669"/>
          </w:tcPr>
          <w:p>
            <w:pPr>
              <w:spacing w:after="40"/>
            </w:pPr>
            <w:r>
              <w:rPr>
                <w:sz w:val="19"/>
              </w:rPr>
              <w:t>KPP Pratama Soreang</w:t>
            </w:r>
          </w:p>
        </w:tc>
      </w:tr>
      <w:tr>
        <w:tc>
          <w:tcPr>
            <w:tcW w:type="dxa" w:w="3402"/>
          </w:tcPr>
          <w:p>
            <w:pPr>
              <w:spacing w:after="40"/>
            </w:pPr>
            <w:r>
              <w:rPr>
                <w:b/>
                <w:sz w:val="19"/>
              </w:rPr>
              <w:t>Status penanaman modal</w:t>
            </w:r>
          </w:p>
        </w:tc>
        <w:tc>
          <w:tcPr>
            <w:tcW w:type="dxa" w:w="5669"/>
          </w:tcPr>
          <w:p>
            <w:pPr>
              <w:spacing w:after="40"/>
            </w:pPr>
            <w:r>
              <w:rPr>
                <w:sz w:val="19"/>
              </w:rPr>
              <w:t>PMDN (penanaman modal dalam negeri)</w:t>
            </w:r>
          </w:p>
        </w:tc>
      </w:tr>
      <w:tr>
        <w:tc>
          <w:tcPr>
            <w:tcW w:type="dxa" w:w="3402"/>
          </w:tcPr>
          <w:p>
            <w:pPr>
              <w:spacing w:after="40"/>
            </w:pPr>
            <w:r>
              <w:rPr>
                <w:b/>
                <w:sz w:val="19"/>
              </w:rPr>
              <w:t>Alamat terdaftar</w:t>
            </w:r>
          </w:p>
        </w:tc>
        <w:tc>
          <w:tcPr>
            <w:tcW w:type="dxa" w:w="5669"/>
          </w:tcPr>
          <w:p>
            <w:pPr>
              <w:spacing w:after="40"/>
            </w:pPr>
            <w:r>
              <w:rPr>
                <w:sz w:val="19"/>
              </w:rPr>
              <w:t>Cikambuy Tengah, RT 001/RW 008, Desa/Kelurahan Sangkanhurip, Kecamatan Katapang, Kabupaten Bandung, Jawa Barat 40921, Indonesia</w:t>
            </w:r>
          </w:p>
        </w:tc>
      </w:tr>
      <w:tr>
        <w:tc>
          <w:tcPr>
            <w:tcW w:type="dxa" w:w="3402"/>
          </w:tcPr>
          <w:p>
            <w:pPr>
              <w:spacing w:after="40"/>
            </w:pPr>
            <w:r>
              <w:rPr>
                <w:b/>
                <w:sz w:val="19"/>
              </w:rPr>
              <w:t>Email resmi</w:t>
            </w:r>
          </w:p>
        </w:tc>
        <w:tc>
          <w:tcPr>
            <w:tcW w:type="dxa" w:w="5669"/>
          </w:tcPr>
          <w:p>
            <w:pPr>
              <w:spacing w:after="40"/>
            </w:pPr>
            <w:r>
              <w:rPr>
                <w:sz w:val="19"/>
              </w:rPr>
              <w:t>general@spartan.biz.id</w:t>
            </w:r>
          </w:p>
        </w:tc>
      </w:tr>
      <w:tr>
        <w:tc>
          <w:tcPr>
            <w:tcW w:type="dxa" w:w="3402"/>
          </w:tcPr>
          <w:p>
            <w:pPr>
              <w:spacing w:after="40"/>
            </w:pPr>
            <w:r>
              <w:rPr>
                <w:b/>
                <w:sz w:val="19"/>
              </w:rPr>
              <w:t>Situs</w:t>
            </w:r>
          </w:p>
        </w:tc>
        <w:tc>
          <w:tcPr>
            <w:tcW w:type="dxa" w:w="5669"/>
          </w:tcPr>
          <w:p>
            <w:pPr>
              <w:spacing w:after="40"/>
            </w:pPr>
            <w:r>
              <w:rPr>
                <w:sz w:val="19"/>
              </w:rPr>
              <w:t>www.spartan.co.id</w:t>
            </w:r>
          </w:p>
        </w:tc>
      </w:tr>
    </w:tbl>
    <w:p/>
    <w:p>
      <w:pPr>
        <w:pStyle w:val="Heading1"/>
      </w:pPr>
      <w:r>
        <w:t>3. Bidang usaha (KBLI)</w:t>
      </w:r>
    </w:p>
    <w:tbl>
      <w:tblPr>
        <w:tblStyle w:val="LightGrid-Accent1"/>
        <w:tblW w:type="auto" w:w="0"/>
        <w:jc w:val="left"/>
        <w:tblLook w:firstColumn="1" w:firstRow="1" w:lastColumn="0" w:lastRow="0" w:noHBand="0" w:noVBand="1" w:val="04A0"/>
      </w:tblPr>
      <w:tblGrid>
        <w:gridCol w:w="4320"/>
        <w:gridCol w:w="4320"/>
      </w:tblGrid>
      <w:tr>
        <w:tc>
          <w:tcPr>
            <w:tcW w:type="dxa" w:w="3402"/>
          </w:tcPr>
          <w:p>
            <w:pPr>
              <w:spacing w:after="40"/>
            </w:pPr>
            <w:r>
              <w:rPr>
                <w:b/>
                <w:sz w:val="19"/>
              </w:rPr>
              <w:t>62019 (utama)</w:t>
            </w:r>
          </w:p>
        </w:tc>
        <w:tc>
          <w:tcPr>
            <w:tcW w:type="dxa" w:w="5669"/>
          </w:tcPr>
          <w:p>
            <w:pPr>
              <w:spacing w:after="40"/>
            </w:pPr>
            <w:r>
              <w:rPr>
                <w:sz w:val="19"/>
              </w:rPr>
              <w:t>Aktivitas Pemrograman Komputer Lainnya — tingkat risiko rendah</w:t>
            </w:r>
          </w:p>
        </w:tc>
      </w:tr>
      <w:tr>
        <w:tc>
          <w:tcPr>
            <w:tcW w:type="dxa" w:w="3402"/>
          </w:tcPr>
          <w:p>
            <w:pPr>
              <w:spacing w:after="40"/>
            </w:pPr>
            <w:r>
              <w:rPr>
                <w:b/>
                <w:sz w:val="19"/>
              </w:rPr>
              <w:t>62021</w:t>
            </w:r>
          </w:p>
        </w:tc>
        <w:tc>
          <w:tcPr>
            <w:tcW w:type="dxa" w:w="5669"/>
          </w:tcPr>
          <w:p>
            <w:pPr>
              <w:spacing w:after="40"/>
            </w:pPr>
            <w:r>
              <w:rPr>
                <w:sz w:val="19"/>
              </w:rPr>
              <w:t>Aktivitas Konsultasi Keamanan Informasi</w:t>
            </w:r>
          </w:p>
        </w:tc>
      </w:tr>
      <w:tr>
        <w:tc>
          <w:tcPr>
            <w:tcW w:type="dxa" w:w="3402"/>
          </w:tcPr>
          <w:p>
            <w:pPr>
              <w:spacing w:after="40"/>
            </w:pPr>
            <w:r>
              <w:rPr>
                <w:b/>
                <w:sz w:val="19"/>
              </w:rPr>
              <w:t>62090</w:t>
            </w:r>
          </w:p>
        </w:tc>
        <w:tc>
          <w:tcPr>
            <w:tcW w:type="dxa" w:w="5669"/>
          </w:tcPr>
          <w:p>
            <w:pPr>
              <w:spacing w:after="40"/>
            </w:pPr>
            <w:r>
              <w:rPr>
                <w:sz w:val="19"/>
              </w:rPr>
              <w:t>Aktivitas Teknologi Informasi dan Jasa Komputer Lainnya</w:t>
            </w:r>
          </w:p>
        </w:tc>
      </w:tr>
    </w:tbl>
    <w:p/>
    <w:p>
      <w:pPr>
        <w:pStyle w:val="Heading1"/>
      </w:pPr>
      <w:r>
        <w:t>4. Layanan</w:t>
      </w:r>
    </w:p>
    <w:p>
      <w:pPr>
        <w:pStyle w:val="Heading2"/>
      </w:pPr>
      <w:r>
        <w:t>Pengembangan perangkat lunak &amp; aplikasi</w:t>
      </w:r>
    </w:p>
    <w:p>
      <w:pPr>
        <w:pStyle w:val="ListBullet"/>
        <w:spacing w:after="60"/>
      </w:pPr>
      <w:r>
        <w:rPr>
          <w:sz w:val="20"/>
        </w:rPr>
        <w:t>Aplikasi web, sistem internal, dan dasbor.</w:t>
      </w:r>
    </w:p>
    <w:p>
      <w:pPr>
        <w:pStyle w:val="ListBullet"/>
        <w:spacing w:after="60"/>
      </w:pPr>
      <w:r>
        <w:rPr>
          <w:sz w:val="20"/>
        </w:rPr>
        <w:t>API serta integrasi antar sistem yang sebelumnya terpisah.</w:t>
      </w:r>
    </w:p>
    <w:p>
      <w:pPr>
        <w:pStyle w:val="ListBullet"/>
        <w:spacing w:after="60"/>
      </w:pPr>
      <w:r>
        <w:rPr>
          <w:sz w:val="20"/>
        </w:rPr>
        <w:t>Migrasi sistem lama dan pengembangan lanjutan aplikasi yang sudah ada.</w:t>
      </w:r>
    </w:p>
    <w:p>
      <w:pPr>
        <w:pStyle w:val="Heading2"/>
      </w:pPr>
      <w:r>
        <w:t>Konsultasi &amp; pelatihan AI</w:t>
      </w:r>
    </w:p>
    <w:p>
      <w:pPr>
        <w:pStyle w:val="ListBullet"/>
        <w:spacing w:after="60"/>
      </w:pPr>
      <w:r>
        <w:rPr>
          <w:sz w:val="20"/>
        </w:rPr>
        <w:t>Penilaian peluang AI yang realistis beserta estimasi biaya model.</w:t>
      </w:r>
    </w:p>
    <w:p>
      <w:pPr>
        <w:pStyle w:val="ListBullet"/>
        <w:spacing w:after="60"/>
      </w:pPr>
      <w:r>
        <w:rPr>
          <w:sz w:val="20"/>
        </w:rPr>
        <w:t>Pemilihan model dan penyedia, termasuk opsi model lokal.</w:t>
      </w:r>
    </w:p>
    <w:p>
      <w:pPr>
        <w:pStyle w:val="ListBullet"/>
        <w:spacing w:after="60"/>
      </w:pPr>
      <w:r>
        <w:rPr>
          <w:sz w:val="20"/>
        </w:rPr>
        <w:t>Pelatihan tim dan penyusunan kebijakan pemakaian AI.</w:t>
      </w:r>
    </w:p>
    <w:p>
      <w:pPr>
        <w:pStyle w:val="Heading2"/>
      </w:pPr>
      <w:r>
        <w:t>Otomasi proses bisnis &amp; integrasi sistem</w:t>
      </w:r>
    </w:p>
    <w:p>
      <w:pPr>
        <w:pStyle w:val="ListBullet"/>
        <w:spacing w:after="60"/>
      </w:pPr>
      <w:r>
        <w:rPr>
          <w:sz w:val="20"/>
        </w:rPr>
        <w:t>Otomasi pekerjaan manual berulang: rekap data, laporan, pemindahan berkas.</w:t>
      </w:r>
    </w:p>
    <w:p>
      <w:pPr>
        <w:pStyle w:val="ListBullet"/>
        <w:spacing w:after="60"/>
      </w:pPr>
      <w:r>
        <w:rPr>
          <w:sz w:val="20"/>
        </w:rPr>
        <w:t>Pemeriksaan kualitas data dan pemberitahuan bila ada kejanggalan.</w:t>
      </w:r>
    </w:p>
    <w:p>
      <w:pPr>
        <w:pStyle w:val="ListBullet"/>
        <w:spacing w:after="60"/>
      </w:pPr>
      <w:r>
        <w:rPr>
          <w:sz w:val="20"/>
        </w:rPr>
        <w:t>Pemrosesan dokumen: ekstraksi data, penggolongan, pengarsipan.</w:t>
      </w:r>
    </w:p>
    <w:p>
      <w:pPr>
        <w:pStyle w:val="Heading2"/>
      </w:pPr>
      <w:r>
        <w:t>Pemeliharaan, dukungan &amp; infrastruktur TI</w:t>
      </w:r>
    </w:p>
    <w:p>
      <w:pPr>
        <w:pStyle w:val="ListBullet"/>
        <w:spacing w:after="60"/>
      </w:pPr>
      <w:r>
        <w:rPr>
          <w:sz w:val="20"/>
        </w:rPr>
        <w:t>Pemantauan, pencadangan, dan uji pemulihan data.</w:t>
      </w:r>
    </w:p>
    <w:p>
      <w:pPr>
        <w:pStyle w:val="ListBullet"/>
        <w:spacing w:after="60"/>
      </w:pPr>
      <w:r>
        <w:rPr>
          <w:sz w:val="20"/>
        </w:rPr>
        <w:t>Pembaruan keamanan dan penyesuaian konfigurasi server.</w:t>
      </w:r>
    </w:p>
    <w:p>
      <w:pPr>
        <w:pStyle w:val="ListBullet"/>
        <w:spacing w:after="60"/>
      </w:pPr>
      <w:r>
        <w:rPr>
          <w:sz w:val="20"/>
        </w:rPr>
        <w:t>Laporan berkala kondisi sistem dan rekomendasi perbaikan.</w:t>
      </w:r>
    </w:p>
    <w:p>
      <w:pPr>
        <w:pStyle w:val="Heading1"/>
      </w:pPr>
      <w:r>
        <w:t>5. Cara kami bekerja</w:t>
      </w:r>
    </w:p>
    <w:tbl>
      <w:tblPr>
        <w:tblStyle w:val="LightGrid-Accent1"/>
        <w:tblW w:type="auto" w:w="0"/>
        <w:jc w:val="left"/>
        <w:tblLook w:firstColumn="1" w:firstRow="1" w:lastColumn="0" w:lastRow="0" w:noHBand="0" w:noVBand="1" w:val="04A0"/>
      </w:tblPr>
      <w:tblGrid>
        <w:gridCol w:w="4320"/>
        <w:gridCol w:w="4320"/>
      </w:tblGrid>
      <w:tr>
        <w:tc>
          <w:tcPr>
            <w:tcW w:type="dxa" w:w="3402"/>
          </w:tcPr>
          <w:p>
            <w:pPr>
              <w:spacing w:after="40"/>
            </w:pPr>
            <w:r>
              <w:rPr>
                <w:b/>
                <w:sz w:val="19"/>
              </w:rPr>
              <w:t>Tahap 1 — Diskusi kebutuhan</w:t>
            </w:r>
          </w:p>
        </w:tc>
        <w:tc>
          <w:tcPr>
            <w:tcW w:type="dxa" w:w="5669"/>
          </w:tcPr>
          <w:p>
            <w:pPr>
              <w:spacing w:after="40"/>
            </w:pPr>
            <w:r>
              <w:rPr>
                <w:sz w:val="19"/>
              </w:rPr>
              <w:t>Tanpa biaya. Membahas pekerjaan, sistem yang terlibat, dan batasan data.</w:t>
            </w:r>
          </w:p>
        </w:tc>
      </w:tr>
      <w:tr>
        <w:tc>
          <w:tcPr>
            <w:tcW w:type="dxa" w:w="3402"/>
          </w:tcPr>
          <w:p>
            <w:pPr>
              <w:spacing w:after="40"/>
            </w:pPr>
            <w:r>
              <w:rPr>
                <w:b/>
                <w:sz w:val="19"/>
              </w:rPr>
              <w:t>Tahap 2 — Lingkup dan penawaran</w:t>
            </w:r>
          </w:p>
        </w:tc>
        <w:tc>
          <w:tcPr>
            <w:tcW w:type="dxa" w:w="5669"/>
          </w:tcPr>
          <w:p>
            <w:pPr>
              <w:spacing w:after="40"/>
            </w:pPr>
            <w:r>
              <w:rPr>
                <w:sz w:val="19"/>
              </w:rPr>
              <w:t>Uraian pekerjaan, keluaran, jadwal tahapan, dan biaya secara tertulis.</w:t>
            </w:r>
          </w:p>
        </w:tc>
      </w:tr>
      <w:tr>
        <w:tc>
          <w:tcPr>
            <w:tcW w:type="dxa" w:w="3402"/>
          </w:tcPr>
          <w:p>
            <w:pPr>
              <w:spacing w:after="40"/>
            </w:pPr>
            <w:r>
              <w:rPr>
                <w:b/>
                <w:sz w:val="19"/>
              </w:rPr>
              <w:t>Tahap 3 — Pengerjaan bertahap</w:t>
            </w:r>
          </w:p>
        </w:tc>
        <w:tc>
          <w:tcPr>
            <w:tcW w:type="dxa" w:w="5669"/>
          </w:tcPr>
          <w:p>
            <w:pPr>
              <w:spacing w:after="40"/>
            </w:pPr>
            <w:r>
              <w:rPr>
                <w:sz w:val="19"/>
              </w:rPr>
              <w:t>Tahap pendek agar hasil dapat diuji sambil proyek berjalan.</w:t>
            </w:r>
          </w:p>
        </w:tc>
      </w:tr>
      <w:tr>
        <w:tc>
          <w:tcPr>
            <w:tcW w:type="dxa" w:w="3402"/>
          </w:tcPr>
          <w:p>
            <w:pPr>
              <w:spacing w:after="40"/>
            </w:pPr>
            <w:r>
              <w:rPr>
                <w:b/>
                <w:sz w:val="19"/>
              </w:rPr>
              <w:t>Tahap 4 — Serah terima dan dukungan</w:t>
            </w:r>
          </w:p>
        </w:tc>
        <w:tc>
          <w:tcPr>
            <w:tcW w:type="dxa" w:w="5669"/>
          </w:tcPr>
          <w:p>
            <w:pPr>
              <w:spacing w:after="40"/>
            </w:pPr>
            <w:r>
              <w:rPr>
                <w:sz w:val="19"/>
              </w:rPr>
              <w:t>Kode sumber, dokumentasi, pelatihan, dan masa dukungan yang disepakati.</w:t>
            </w:r>
          </w:p>
        </w:tc>
      </w:tr>
    </w:tbl>
    <w:p/>
    <w:p>
      <w:pPr>
        <w:pStyle w:val="Heading1"/>
      </w:pPr>
      <w:r>
        <w:t>6. Keterangan dokumen</w:t>
      </w:r>
    </w:p>
    <w:p>
      <w:pPr>
        <w:pStyle w:val="ListBullet"/>
        <w:spacing w:after="60"/>
      </w:pPr>
      <w:r>
        <w:rPr>
          <w:sz w:val="20"/>
        </w:rPr>
        <w:t>Versi 1.0 — Februari 2026</w:t>
      </w:r>
    </w:p>
    <w:p>
      <w:pPr>
        <w:pStyle w:val="ListBullet"/>
        <w:spacing w:after="60"/>
      </w:pPr>
      <w:r>
        <w:rPr>
          <w:sz w:val="20"/>
        </w:rPr>
        <w:t>Data legalitas dapat diverifikasi melalui oss.go.id (NIB) dan ahu.go.id (status badan hukum).</w:t>
      </w:r>
    </w:p>
    <w:p>
      <w:pPr>
        <w:pStyle w:val="ListBullet"/>
        <w:spacing w:after="60"/>
      </w:pPr>
      <w:r>
        <w:rPr>
          <w:sz w:val="20"/>
        </w:rPr>
        <w:t>Dokumen ini bersifat ringkasan; rincian kerja sama dituangkan dalam perjanjian terpisah.</w:t>
      </w:r>
    </w:p>
    <w:p>
      <w:pPr>
        <w:pStyle w:val="ListBullet"/>
        <w:spacing w:after="60"/>
      </w:pPr>
      <w:r>
        <w:rPr>
          <w:sz w:val="20"/>
        </w:rPr>
        <w:t>Tidak memuat data pribadi pendiri.</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PT SPARTAN ANEKA TELEMATIKA · 2102230105729 · general@spartan.biz.id · Versi 1.0 — Februari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