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40"/>
        </w:rPr>
        <w:t>PT SPARTAN ANEKA TELEMATIKA</w:t>
      </w:r>
    </w:p>
    <w:p>
      <w:pPr>
        <w:spacing w:after="280"/>
      </w:pPr>
      <w:r>
        <w:rPr>
          <w:i/>
          <w:sz w:val="22"/>
        </w:rPr>
        <w:t>Company and services profile — a concise document for prospective clients and procurement teams</w:t>
      </w:r>
    </w:p>
    <w:p>
      <w:pPr>
        <w:pStyle w:val="Heading1"/>
      </w:pPr>
      <w:r>
        <w:t>1. Company overview</w:t>
      </w:r>
    </w:p>
    <w:p>
      <w:r>
        <w:t>PT Spartan Aneka Telematika is a legally registered information technology company based in Bandung Regency, West Java, Indonesia, focused on artificial intelligence. We help organisations design, build and maintain AI-driven software and workflows — from automating repetitive tasks to internal AI assistants. We serve clients in Indonesia and abroad, remotely or on site, communicating in Indonesian and English.</w:t>
      </w:r>
    </w:p>
    <w:p>
      <w:pPr>
        <w:pStyle w:val="Heading1"/>
      </w:pPr>
      <w:r>
        <w:t>2. Legal identity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Legal name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PT SPARTAN ANEKA TELEMATIKA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Legal form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Perseroan Perorangan (sole-shareholder limited company, legal entity)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Date of establishment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21 February 2023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Business Identification Number (NIB)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2102230105729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Certificate of registration of establishment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AHU-014540.AH.01.30.Tahun 2023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Tax identification number (NPWP)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0629202151445000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NITKU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0629202151445000000000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Tax office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KPP Pratama Soreang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Investment status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PMDN (domestic investment)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Registered address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Cikambuy Tengah, RT 001/RW 008, Desa/Kelurahan Sangkanhurip, Kecamatan Katapang, Kabupaten Bandung, Jawa Barat 40921, Indonesia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Official email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general@spartan.biz.id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Website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www.spartan.co.id</w:t>
            </w:r>
          </w:p>
        </w:tc>
      </w:tr>
    </w:tbl>
    <w:p/>
    <w:p>
      <w:pPr>
        <w:pStyle w:val="Heading1"/>
      </w:pPr>
      <w:r>
        <w:t>3. Registered business fields (KBLI)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62019 (primary)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Other Computer Programming Activities — low risk level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62021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Information Security Consulting Activities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62090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Other Information Technology and Computer Service Activities</w:t>
            </w:r>
          </w:p>
        </w:tc>
      </w:tr>
    </w:tbl>
    <w:p/>
    <w:p>
      <w:pPr>
        <w:pStyle w:val="Heading1"/>
      </w:pPr>
      <w:r>
        <w:t>4. Services</w:t>
      </w:r>
    </w:p>
    <w:p>
      <w:pPr>
        <w:pStyle w:val="Heading2"/>
      </w:pPr>
      <w:r>
        <w:t>Software &amp; application development</w:t>
      </w:r>
    </w:p>
    <w:p>
      <w:pPr>
        <w:pStyle w:val="ListBullet"/>
        <w:spacing w:after="60"/>
      </w:pPr>
      <w:r>
        <w:rPr>
          <w:sz w:val="20"/>
        </w:rPr>
        <w:t>Web applications, internal systems and dashboards.</w:t>
      </w:r>
    </w:p>
    <w:p>
      <w:pPr>
        <w:pStyle w:val="ListBullet"/>
        <w:spacing w:after="60"/>
      </w:pPr>
      <w:r>
        <w:rPr>
          <w:sz w:val="20"/>
        </w:rPr>
        <w:t>APIs and integration between previously separate systems.</w:t>
      </w:r>
    </w:p>
    <w:p>
      <w:pPr>
        <w:pStyle w:val="ListBullet"/>
        <w:spacing w:after="60"/>
      </w:pPr>
      <w:r>
        <w:rPr>
          <w:sz w:val="20"/>
        </w:rPr>
        <w:t>Legacy migration and further development of existing applications.</w:t>
      </w:r>
    </w:p>
    <w:p>
      <w:pPr>
        <w:pStyle w:val="Heading2"/>
      </w:pPr>
      <w:r>
        <w:t>AI consulting &amp; training</w:t>
      </w:r>
    </w:p>
    <w:p>
      <w:pPr>
        <w:pStyle w:val="ListBullet"/>
        <w:spacing w:after="60"/>
      </w:pPr>
      <w:r>
        <w:rPr>
          <w:sz w:val="20"/>
        </w:rPr>
        <w:t>Realistic AI opportunity assessment with model cost estimates.</w:t>
      </w:r>
    </w:p>
    <w:p>
      <w:pPr>
        <w:pStyle w:val="ListBullet"/>
        <w:spacing w:after="60"/>
      </w:pPr>
      <w:r>
        <w:rPr>
          <w:sz w:val="20"/>
        </w:rPr>
        <w:t>Model and provider selection, including local model options.</w:t>
      </w:r>
    </w:p>
    <w:p>
      <w:pPr>
        <w:pStyle w:val="ListBullet"/>
        <w:spacing w:after="60"/>
      </w:pPr>
      <w:r>
        <w:rPr>
          <w:sz w:val="20"/>
        </w:rPr>
        <w:t>Team training and drafting of AI usage policies.</w:t>
      </w:r>
    </w:p>
    <w:p>
      <w:pPr>
        <w:pStyle w:val="Heading2"/>
      </w:pPr>
      <w:r>
        <w:t>Business process automation &amp; system integration</w:t>
      </w:r>
    </w:p>
    <w:p>
      <w:pPr>
        <w:pStyle w:val="ListBullet"/>
        <w:spacing w:after="60"/>
      </w:pPr>
      <w:r>
        <w:rPr>
          <w:sz w:val="20"/>
        </w:rPr>
        <w:t>Automating repetitive manual work: data recaps, reports, file transfers.</w:t>
      </w:r>
    </w:p>
    <w:p>
      <w:pPr>
        <w:pStyle w:val="ListBullet"/>
        <w:spacing w:after="60"/>
      </w:pPr>
      <w:r>
        <w:rPr>
          <w:sz w:val="20"/>
        </w:rPr>
        <w:t>Data quality checks with alerts when something looks wrong.</w:t>
      </w:r>
    </w:p>
    <w:p>
      <w:pPr>
        <w:pStyle w:val="ListBullet"/>
        <w:spacing w:after="60"/>
      </w:pPr>
      <w:r>
        <w:rPr>
          <w:sz w:val="20"/>
        </w:rPr>
        <w:t>Document processing: data extraction, classification, archiving.</w:t>
      </w:r>
    </w:p>
    <w:p>
      <w:pPr>
        <w:pStyle w:val="Heading2"/>
      </w:pPr>
      <w:r>
        <w:t>IT maintenance, support &amp; infrastructure</w:t>
      </w:r>
    </w:p>
    <w:p>
      <w:pPr>
        <w:pStyle w:val="ListBullet"/>
        <w:spacing w:after="60"/>
      </w:pPr>
      <w:r>
        <w:rPr>
          <w:sz w:val="20"/>
        </w:rPr>
        <w:t>Monitoring, backups and recovery testing.</w:t>
      </w:r>
    </w:p>
    <w:p>
      <w:pPr>
        <w:pStyle w:val="ListBullet"/>
        <w:spacing w:after="60"/>
      </w:pPr>
      <w:r>
        <w:rPr>
          <w:sz w:val="20"/>
        </w:rPr>
        <w:t>Security updates and server configuration adjustments.</w:t>
      </w:r>
    </w:p>
    <w:p>
      <w:pPr>
        <w:pStyle w:val="ListBullet"/>
        <w:spacing w:after="60"/>
      </w:pPr>
      <w:r>
        <w:rPr>
          <w:sz w:val="20"/>
        </w:rPr>
        <w:t>Periodic system health reports and improvement recommendations.</w:t>
      </w:r>
    </w:p>
    <w:p>
      <w:pPr>
        <w:pStyle w:val="Heading1"/>
      </w:pPr>
      <w:r>
        <w:t>5. How we work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Stage 1 — Needs discussion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Free of charge. We discuss the work, systems involved and data constraints.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Stage 2 — Scope and proposal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Written description of work, deliverables, staged timeline and cost.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Stage 3 — Staged delivery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Short stages so results can be tested while the project runs.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>
              <w:rPr>
                <w:b/>
                <w:sz w:val="19"/>
              </w:rPr>
              <w:t>Stage 4 — Handover and support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sz w:val="19"/>
              </w:rPr>
              <w:t>Source code, documentation, training and an agreed support period.</w:t>
            </w:r>
          </w:p>
        </w:tc>
      </w:tr>
    </w:tbl>
    <w:p/>
    <w:p>
      <w:pPr>
        <w:pStyle w:val="Heading1"/>
      </w:pPr>
      <w:r>
        <w:t>6. Document note</w:t>
      </w:r>
    </w:p>
    <w:p>
      <w:pPr>
        <w:pStyle w:val="ListBullet"/>
        <w:spacing w:after="60"/>
      </w:pPr>
      <w:r>
        <w:rPr>
          <w:sz w:val="20"/>
        </w:rPr>
        <w:t>Version 1.0 — February 2026</w:t>
      </w:r>
    </w:p>
    <w:p>
      <w:pPr>
        <w:pStyle w:val="ListBullet"/>
        <w:spacing w:after="60"/>
      </w:pPr>
      <w:r>
        <w:rPr>
          <w:sz w:val="20"/>
        </w:rPr>
        <w:t>Legal data can be verified at oss.go.id (NIB) and ahu.go.id (legal entity status).</w:t>
      </w:r>
    </w:p>
    <w:p>
      <w:pPr>
        <w:pStyle w:val="ListBullet"/>
        <w:spacing w:after="60"/>
      </w:pPr>
      <w:r>
        <w:rPr>
          <w:sz w:val="20"/>
        </w:rPr>
        <w:t>This document is a summary; engagement details are set out in a separate agreement.</w:t>
      </w:r>
    </w:p>
    <w:p>
      <w:pPr>
        <w:pStyle w:val="ListBullet"/>
        <w:spacing w:after="60"/>
      </w:pPr>
      <w:r>
        <w:rPr>
          <w:sz w:val="20"/>
        </w:rPr>
        <w:t>It contains no personal data of the founder.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PT SPARTAN ANEKA TELEMATIKA · 2102230105729 · general@spartan.biz.id · Version 1.0 — February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